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896" w:rsidRDefault="00A40896">
      <w:pPr>
        <w:pStyle w:val="Corpsdetexte"/>
        <w:ind w:left="0"/>
        <w:rPr>
          <w:rFonts w:ascii="Times New Roman"/>
        </w:rPr>
      </w:pPr>
    </w:p>
    <w:p w:rsidR="00A40896" w:rsidRDefault="00A40896">
      <w:pPr>
        <w:pStyle w:val="Corpsdetexte"/>
        <w:ind w:left="0"/>
        <w:rPr>
          <w:rFonts w:ascii="Times New Roman"/>
        </w:rPr>
      </w:pPr>
    </w:p>
    <w:p w:rsidR="00A40896" w:rsidRDefault="00A40896">
      <w:pPr>
        <w:pStyle w:val="Corpsdetexte"/>
        <w:ind w:left="0"/>
        <w:rPr>
          <w:rFonts w:ascii="Times New Roman"/>
        </w:rPr>
      </w:pPr>
    </w:p>
    <w:p w:rsidR="00A40896" w:rsidRDefault="00A40896">
      <w:pPr>
        <w:pStyle w:val="Corpsdetexte"/>
        <w:spacing w:before="5"/>
        <w:ind w:left="0"/>
        <w:rPr>
          <w:rFonts w:ascii="Times New Roman"/>
          <w:sz w:val="10"/>
        </w:rPr>
      </w:pPr>
    </w:p>
    <w:p w:rsidR="00A40896" w:rsidRDefault="002A5242">
      <w:pPr>
        <w:pStyle w:val="Corpsdetexte"/>
        <w:rPr>
          <w:rFonts w:ascii="Times New Roman"/>
        </w:rPr>
      </w:pPr>
      <w:r>
        <w:rPr>
          <w:rFonts w:ascii="Times New Roman"/>
          <w:spacing w:val="-15"/>
        </w:rPr>
        <w:t xml:space="preserve"> </w:t>
      </w:r>
    </w:p>
    <w:p w:rsidR="00A40896" w:rsidRDefault="00A40896">
      <w:pPr>
        <w:pStyle w:val="Corpsdetexte"/>
        <w:ind w:left="0"/>
        <w:rPr>
          <w:rFonts w:ascii="Times New Roman"/>
        </w:rPr>
      </w:pPr>
    </w:p>
    <w:p w:rsidR="00A40896" w:rsidRDefault="00A40896">
      <w:pPr>
        <w:pStyle w:val="Corpsdetexte"/>
        <w:ind w:left="0"/>
        <w:rPr>
          <w:rFonts w:ascii="Times New Roman"/>
        </w:rPr>
      </w:pPr>
    </w:p>
    <w:p w:rsidR="00A40896" w:rsidRDefault="00947451" w:rsidP="00947451">
      <w:pPr>
        <w:spacing w:line="533" w:lineRule="exact"/>
        <w:ind w:left="110" w:right="680" w:firstLine="610"/>
        <w:rPr>
          <w:rFonts w:ascii="Arial Black" w:hAnsi="Arial Black"/>
          <w:sz w:val="48"/>
        </w:rPr>
      </w:pPr>
      <w:r>
        <w:rPr>
          <w:rFonts w:ascii="Arial Black" w:hAnsi="Arial Black"/>
          <w:sz w:val="48"/>
        </w:rPr>
        <w:t xml:space="preserve">                     A noter</w:t>
      </w:r>
    </w:p>
    <w:p w:rsidR="00A40896" w:rsidRDefault="00AE2481">
      <w:pPr>
        <w:pStyle w:val="Corpsdetexte"/>
        <w:spacing w:before="4"/>
        <w:ind w:left="0"/>
        <w:rPr>
          <w:rFonts w:ascii="HeldustryFTVBasic Black"/>
          <w:sz w:val="24"/>
        </w:rPr>
      </w:pPr>
      <w:r>
        <w:rPr>
          <w:noProof/>
          <w:lang w:val="fr-FR" w:eastAsia="fr-FR"/>
        </w:rPr>
        <mc:AlternateContent>
          <mc:Choice Requires="wps">
            <w:drawing>
              <wp:anchor distT="0" distB="0" distL="0" distR="0" simplePos="0" relativeHeight="1072" behindDoc="0" locked="0" layoutInCell="1" allowOverlap="1" wp14:anchorId="17F85D9F" wp14:editId="2E2C569C">
                <wp:simplePos x="0" y="0"/>
                <wp:positionH relativeFrom="page">
                  <wp:posOffset>539750</wp:posOffset>
                </wp:positionH>
                <wp:positionV relativeFrom="paragraph">
                  <wp:posOffset>207010</wp:posOffset>
                </wp:positionV>
                <wp:extent cx="6480175" cy="0"/>
                <wp:effectExtent l="6350" t="6985" r="9525" b="12065"/>
                <wp:wrapTopAndBottom/>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6.3pt" to="552.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C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" strokeweight=".5pt">
                <w10:wrap type="topAndBottom" anchorx="page"/>
              </v:line>
            </w:pict>
          </mc:Fallback>
        </mc:AlternateContent>
      </w:r>
    </w:p>
    <w:p w:rsidR="00A40896" w:rsidRDefault="00A40896">
      <w:pPr>
        <w:pStyle w:val="Corpsdetexte"/>
        <w:ind w:left="0"/>
        <w:rPr>
          <w:rFonts w:ascii="HeldustryFTVBasic Black"/>
        </w:rPr>
      </w:pPr>
    </w:p>
    <w:p w:rsidR="00074366" w:rsidRDefault="00074366" w:rsidP="00074366">
      <w:pPr>
        <w:spacing w:line="0" w:lineRule="atLeast"/>
        <w:ind w:left="20"/>
        <w:rPr>
          <w:rFonts w:ascii="Arial" w:eastAsia="Arial" w:hAnsi="Arial"/>
          <w:color w:val="F8122B"/>
        </w:rPr>
      </w:pPr>
      <w:r>
        <w:rPr>
          <w:rFonts w:ascii="Arial" w:eastAsia="Arial" w:hAnsi="Arial"/>
          <w:color w:val="F8122B"/>
        </w:rPr>
        <w:t>ATTESTATION DE MANDAT</w:t>
      </w:r>
    </w:p>
    <w:p w:rsidR="00074366" w:rsidRDefault="00074366" w:rsidP="00074366">
      <w:pPr>
        <w:spacing w:line="261" w:lineRule="auto"/>
        <w:ind w:left="20" w:right="560"/>
        <w:jc w:val="both"/>
        <w:rPr>
          <w:rFonts w:ascii="Arial" w:eastAsia="Arial" w:hAnsi="Arial"/>
          <w:sz w:val="18"/>
          <w:szCs w:val="18"/>
        </w:rPr>
      </w:pPr>
    </w:p>
    <w:p w:rsidR="00EE74BC" w:rsidRDefault="00074366" w:rsidP="00970E85">
      <w:pPr>
        <w:tabs>
          <w:tab w:val="left" w:pos="10490"/>
        </w:tabs>
        <w:spacing w:line="261" w:lineRule="auto"/>
        <w:ind w:left="20" w:right="680"/>
        <w:jc w:val="both"/>
        <w:rPr>
          <w:rFonts w:ascii="Arial" w:hAnsi="Arial" w:cs="Arial"/>
          <w:sz w:val="20"/>
          <w:szCs w:val="18"/>
        </w:rPr>
      </w:pPr>
      <w:r w:rsidRPr="00074366">
        <w:rPr>
          <w:rFonts w:ascii="Arial" w:eastAsia="Arial" w:hAnsi="Arial"/>
          <w:sz w:val="20"/>
          <w:szCs w:val="18"/>
        </w:rPr>
        <w:t>T</w:t>
      </w:r>
      <w:r w:rsidRPr="00074366">
        <w:rPr>
          <w:rFonts w:ascii="Arial" w:hAnsi="Arial" w:cs="Arial"/>
          <w:sz w:val="20"/>
          <w:szCs w:val="18"/>
        </w:rPr>
        <w:t>out annonceur ou groupe d’annonceurs utilisant les services d’un mandataire devra fournir à France Télévisions Publicité une attestation de mandat sur papier à en-tête de l’annonceur pour l’année N (selon le modèle publié sur le site www.francetvpub.fr). Avant toute réservation, un exemplaire original de ce document devra être impérativement adressé par courriel à facturation@francetvpub.fr et par courrier à France Télévisions Publicité (ADV - Facturation),</w:t>
      </w:r>
    </w:p>
    <w:p w:rsidR="00074366" w:rsidRPr="00074366" w:rsidRDefault="00074366" w:rsidP="00970E85">
      <w:pPr>
        <w:tabs>
          <w:tab w:val="left" w:pos="10490"/>
        </w:tabs>
        <w:spacing w:line="261" w:lineRule="auto"/>
        <w:ind w:left="20" w:right="680"/>
        <w:jc w:val="both"/>
        <w:rPr>
          <w:rFonts w:ascii="Arial" w:hAnsi="Arial" w:cs="Arial"/>
          <w:sz w:val="20"/>
          <w:szCs w:val="18"/>
        </w:rPr>
      </w:pPr>
      <w:r w:rsidRPr="00074366">
        <w:rPr>
          <w:rFonts w:ascii="Arial" w:hAnsi="Arial" w:cs="Arial"/>
          <w:sz w:val="20"/>
          <w:szCs w:val="18"/>
        </w:rPr>
        <w:t>64-70 avenue Jean-Baptiste Clément – 92641 Boulogne-Billancourt Cedex. L’attestation de mandat étant établie pour une durée d’un an, il est nécessaire de produire une nouvelle attestation de mandat pour l’année N y compris en cas de mandat inchangé par rapport à l’année N-1.</w:t>
      </w:r>
    </w:p>
    <w:p w:rsidR="00074366" w:rsidRDefault="00074366" w:rsidP="00970E85">
      <w:pPr>
        <w:tabs>
          <w:tab w:val="left" w:pos="10490"/>
        </w:tabs>
        <w:spacing w:line="249" w:lineRule="exact"/>
        <w:ind w:right="680"/>
        <w:rPr>
          <w:rFonts w:ascii="Times New Roman" w:eastAsia="Times New Roman" w:hAnsi="Times New Roman"/>
        </w:rPr>
      </w:pPr>
    </w:p>
    <w:p w:rsidR="00074366" w:rsidRDefault="00074366" w:rsidP="00970E85">
      <w:pPr>
        <w:tabs>
          <w:tab w:val="left" w:pos="10490"/>
        </w:tabs>
        <w:spacing w:line="249" w:lineRule="exact"/>
        <w:ind w:right="680"/>
        <w:rPr>
          <w:rFonts w:ascii="Times New Roman" w:eastAsia="Times New Roman" w:hAnsi="Times New Roman"/>
        </w:rPr>
      </w:pPr>
    </w:p>
    <w:p w:rsidR="00074366" w:rsidRDefault="00074366" w:rsidP="00970E85">
      <w:pPr>
        <w:tabs>
          <w:tab w:val="left" w:pos="10490"/>
        </w:tabs>
        <w:spacing w:line="0" w:lineRule="atLeast"/>
        <w:ind w:left="20" w:right="680"/>
        <w:rPr>
          <w:rFonts w:ascii="Arial" w:eastAsia="Arial" w:hAnsi="Arial"/>
          <w:color w:val="F8122B"/>
        </w:rPr>
      </w:pPr>
      <w:r>
        <w:rPr>
          <w:rFonts w:ascii="Arial" w:eastAsia="Arial" w:hAnsi="Arial"/>
          <w:color w:val="F8122B"/>
        </w:rPr>
        <w:t>PÉRIMÈTRE</w:t>
      </w:r>
    </w:p>
    <w:p w:rsidR="00074366" w:rsidRDefault="00074366" w:rsidP="00970E85">
      <w:pPr>
        <w:tabs>
          <w:tab w:val="left" w:pos="10490"/>
        </w:tabs>
        <w:spacing w:line="271" w:lineRule="exact"/>
        <w:ind w:right="680"/>
        <w:rPr>
          <w:rFonts w:ascii="Times New Roman" w:eastAsia="Times New Roman" w:hAnsi="Times New Roman"/>
        </w:rPr>
      </w:pPr>
    </w:p>
    <w:p w:rsidR="00074366" w:rsidRPr="00074366" w:rsidRDefault="00074366" w:rsidP="00970E85">
      <w:pPr>
        <w:tabs>
          <w:tab w:val="left" w:pos="10490"/>
        </w:tabs>
        <w:spacing w:line="289" w:lineRule="auto"/>
        <w:ind w:left="20" w:right="680"/>
        <w:jc w:val="both"/>
        <w:rPr>
          <w:rFonts w:ascii="Arial" w:eastAsia="Arial" w:hAnsi="Arial"/>
          <w:sz w:val="20"/>
          <w:szCs w:val="18"/>
        </w:rPr>
      </w:pPr>
      <w:r w:rsidRPr="00074366">
        <w:rPr>
          <w:rFonts w:ascii="Arial" w:eastAsia="Arial" w:hAnsi="Arial"/>
          <w:sz w:val="20"/>
          <w:szCs w:val="18"/>
        </w:rPr>
        <w:t xml:space="preserve">Les investissements publicitaires réalisés par des sociétés appartenant à un même groupe peuvent être retenus comme périmètre d’application des conditions commerciales de France Télévisions Publicité sous </w:t>
      </w:r>
      <w:r>
        <w:rPr>
          <w:rFonts w:ascii="Arial" w:eastAsia="Arial" w:hAnsi="Arial"/>
          <w:sz w:val="20"/>
          <w:szCs w:val="18"/>
        </w:rPr>
        <w:t>réserve des stipulations du pré</w:t>
      </w:r>
      <w:r w:rsidRPr="00074366">
        <w:rPr>
          <w:rFonts w:ascii="Arial" w:eastAsia="Arial" w:hAnsi="Arial"/>
          <w:sz w:val="20"/>
          <w:szCs w:val="18"/>
        </w:rPr>
        <w:t>sent article. Un groupe d’annonceurs ne peut être constitué qu’entre une société-mère et ses filiales contrôlées au sens de l’article L. 233-3 I – 1 du code de commerce et sous réserve que les comptes des sociétés contrôlées soient consolidés avec ceux de la société-mère par intégration globale. Toute demande de constitution d’un groupe d’annonceurs doit être adressée au service de l’Administration Des Ventes de France Télévisions Publicité, 64-70 avenue Jean-Baptiste Clément</w:t>
      </w:r>
      <w:r w:rsidR="00EE74BC">
        <w:rPr>
          <w:rFonts w:ascii="Arial" w:eastAsia="Arial" w:hAnsi="Arial"/>
          <w:sz w:val="20"/>
          <w:szCs w:val="18"/>
        </w:rPr>
        <w:t xml:space="preserve"> </w:t>
      </w:r>
      <w:r w:rsidRPr="00074366">
        <w:rPr>
          <w:rFonts w:ascii="Arial" w:eastAsia="Arial" w:hAnsi="Arial"/>
          <w:sz w:val="20"/>
          <w:szCs w:val="18"/>
        </w:rPr>
        <w:t>– 92641 Boulogne-Billancourt Cedex, avant le 1er janvier de l’année N ou au plus tard un mois avant la date de première diffusion d’un message pour le compte d’une société appartenant au groupe d’annonceurs demandeur.</w:t>
      </w:r>
    </w:p>
    <w:p w:rsidR="00074366" w:rsidRPr="00074366" w:rsidRDefault="00074366" w:rsidP="00970E85">
      <w:pPr>
        <w:tabs>
          <w:tab w:val="left" w:pos="10490"/>
        </w:tabs>
        <w:spacing w:line="246" w:lineRule="exact"/>
        <w:ind w:right="680"/>
        <w:rPr>
          <w:rFonts w:ascii="Times New Roman" w:eastAsia="Times New Roman" w:hAnsi="Times New Roman"/>
          <w:sz w:val="20"/>
          <w:szCs w:val="18"/>
        </w:rPr>
      </w:pPr>
    </w:p>
    <w:p w:rsidR="00842FAB" w:rsidRPr="00074366" w:rsidRDefault="00074366" w:rsidP="00970E85">
      <w:pPr>
        <w:tabs>
          <w:tab w:val="left" w:pos="10490"/>
        </w:tabs>
        <w:spacing w:line="260" w:lineRule="auto"/>
        <w:ind w:left="20" w:right="680"/>
        <w:rPr>
          <w:rFonts w:ascii="Arial" w:eastAsia="Arial" w:hAnsi="Arial"/>
          <w:sz w:val="20"/>
          <w:szCs w:val="18"/>
        </w:rPr>
      </w:pPr>
      <w:r w:rsidRPr="00074366">
        <w:rPr>
          <w:rFonts w:ascii="Arial" w:eastAsia="Arial" w:hAnsi="Arial"/>
          <w:sz w:val="20"/>
          <w:szCs w:val="18"/>
        </w:rPr>
        <w:t>La demande doit être signée par le représentant légal de la société-mère ou par toute personne expressément habilitée par</w:t>
      </w:r>
      <w:r w:rsidR="00842FAB">
        <w:rPr>
          <w:rFonts w:ascii="Arial" w:eastAsia="Arial" w:hAnsi="Arial"/>
          <w:sz w:val="20"/>
          <w:szCs w:val="18"/>
        </w:rPr>
        <w:t xml:space="preserve"> lui. La demande doit comporter</w:t>
      </w:r>
      <w:r w:rsidRPr="00074366">
        <w:rPr>
          <w:rFonts w:ascii="Arial" w:eastAsia="Arial" w:hAnsi="Arial"/>
          <w:sz w:val="20"/>
          <w:szCs w:val="18"/>
        </w:rPr>
        <w:t>:</w:t>
      </w:r>
    </w:p>
    <w:p w:rsidR="00074366" w:rsidRPr="00074366" w:rsidRDefault="00074366" w:rsidP="00970E85">
      <w:pPr>
        <w:tabs>
          <w:tab w:val="left" w:pos="10490"/>
        </w:tabs>
        <w:spacing w:line="2" w:lineRule="exact"/>
        <w:ind w:right="680"/>
        <w:rPr>
          <w:rFonts w:ascii="Times New Roman" w:eastAsia="Times New Roman" w:hAnsi="Times New Roman"/>
          <w:sz w:val="20"/>
          <w:szCs w:val="18"/>
        </w:rPr>
      </w:pPr>
    </w:p>
    <w:p w:rsidR="00074366" w:rsidRPr="00074366" w:rsidRDefault="00074366" w:rsidP="00970E85">
      <w:pPr>
        <w:tabs>
          <w:tab w:val="left" w:pos="10490"/>
        </w:tabs>
        <w:spacing w:line="0" w:lineRule="atLeast"/>
        <w:ind w:left="860" w:right="680" w:hanging="140"/>
        <w:rPr>
          <w:rFonts w:ascii="Arial" w:eastAsia="Arial" w:hAnsi="Arial"/>
          <w:sz w:val="20"/>
          <w:szCs w:val="18"/>
        </w:rPr>
      </w:pPr>
      <w:r w:rsidRPr="00074366">
        <w:rPr>
          <w:rFonts w:ascii="Times New Roman" w:eastAsia="Times New Roman" w:hAnsi="Times New Roman"/>
          <w:noProof/>
          <w:sz w:val="20"/>
          <w:szCs w:val="18"/>
          <w:lang w:val="fr-FR" w:eastAsia="fr-FR"/>
        </w:rPr>
        <w:drawing>
          <wp:inline distT="0" distB="0" distL="0" distR="0" wp14:anchorId="17C2EF61" wp14:editId="1F64DFD9">
            <wp:extent cx="85725" cy="857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74366">
        <w:rPr>
          <w:rFonts w:ascii="Arial" w:eastAsia="Arial" w:hAnsi="Arial"/>
          <w:sz w:val="20"/>
          <w:szCs w:val="18"/>
        </w:rPr>
        <w:t xml:space="preserve">la liste détaillée des entités du groupe </w:t>
      </w:r>
      <w:r w:rsidR="00842FAB" w:rsidRPr="00074366">
        <w:rPr>
          <w:rFonts w:ascii="Arial" w:eastAsia="Arial" w:hAnsi="Arial"/>
          <w:sz w:val="20"/>
          <w:szCs w:val="18"/>
        </w:rPr>
        <w:t>d’annonceurs:</w:t>
      </w:r>
      <w:r w:rsidRPr="00074366">
        <w:rPr>
          <w:rFonts w:ascii="Arial" w:eastAsia="Arial" w:hAnsi="Arial"/>
          <w:sz w:val="20"/>
          <w:szCs w:val="18"/>
        </w:rPr>
        <w:t xml:space="preserve"> dénomination sociale, forme sociale, siège social, numéro SIREN et RCS, n° de TVA intracommunautaire, représentant légal, adresse de facturation, liste des produits, services ou marques concernés ;</w:t>
      </w:r>
    </w:p>
    <w:p w:rsidR="00074366" w:rsidRPr="00074366" w:rsidRDefault="00074366" w:rsidP="00970E85">
      <w:pPr>
        <w:tabs>
          <w:tab w:val="left" w:pos="10490"/>
        </w:tabs>
        <w:spacing w:line="18" w:lineRule="exact"/>
        <w:ind w:right="680"/>
        <w:rPr>
          <w:rFonts w:ascii="Times New Roman" w:eastAsia="Times New Roman" w:hAnsi="Times New Roman"/>
          <w:sz w:val="20"/>
          <w:szCs w:val="18"/>
        </w:rPr>
      </w:pPr>
    </w:p>
    <w:p w:rsidR="00074366" w:rsidRPr="00074366" w:rsidRDefault="00074366" w:rsidP="00970E85">
      <w:pPr>
        <w:tabs>
          <w:tab w:val="left" w:pos="10490"/>
        </w:tabs>
        <w:spacing w:line="0" w:lineRule="atLeast"/>
        <w:ind w:left="720" w:right="680"/>
        <w:rPr>
          <w:rFonts w:ascii="Arial" w:eastAsia="Arial" w:hAnsi="Arial"/>
          <w:sz w:val="20"/>
          <w:szCs w:val="18"/>
        </w:rPr>
      </w:pPr>
      <w:r w:rsidRPr="00074366">
        <w:rPr>
          <w:rFonts w:ascii="Times New Roman" w:eastAsia="Times New Roman" w:hAnsi="Times New Roman"/>
          <w:noProof/>
          <w:sz w:val="20"/>
          <w:szCs w:val="18"/>
          <w:lang w:val="fr-FR" w:eastAsia="fr-FR"/>
        </w:rPr>
        <w:drawing>
          <wp:inline distT="0" distB="0" distL="0" distR="0" wp14:anchorId="2C660D65" wp14:editId="1BAE6657">
            <wp:extent cx="85725" cy="857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74366">
        <w:rPr>
          <w:rFonts w:ascii="Arial" w:eastAsia="Arial" w:hAnsi="Arial"/>
          <w:sz w:val="20"/>
          <w:szCs w:val="18"/>
        </w:rPr>
        <w:t>un exemplaire des comptes consolidés du groupe et annexes comptables;</w:t>
      </w:r>
    </w:p>
    <w:p w:rsidR="00074366" w:rsidRPr="00074366" w:rsidRDefault="00074366" w:rsidP="00970E85">
      <w:pPr>
        <w:tabs>
          <w:tab w:val="left" w:pos="10490"/>
        </w:tabs>
        <w:spacing w:line="20" w:lineRule="exact"/>
        <w:ind w:right="680"/>
        <w:rPr>
          <w:rFonts w:ascii="Times New Roman" w:eastAsia="Times New Roman" w:hAnsi="Times New Roman"/>
          <w:sz w:val="20"/>
          <w:szCs w:val="18"/>
        </w:rPr>
      </w:pPr>
    </w:p>
    <w:p w:rsidR="00074366" w:rsidRPr="00074366" w:rsidRDefault="00074366" w:rsidP="00970E85">
      <w:pPr>
        <w:tabs>
          <w:tab w:val="left" w:pos="10490"/>
        </w:tabs>
        <w:spacing w:line="0" w:lineRule="atLeast"/>
        <w:ind w:left="875" w:right="680" w:hanging="155"/>
        <w:jc w:val="both"/>
        <w:rPr>
          <w:rFonts w:ascii="Arial" w:eastAsia="Arial" w:hAnsi="Arial"/>
          <w:sz w:val="20"/>
          <w:szCs w:val="18"/>
        </w:rPr>
      </w:pPr>
      <w:r w:rsidRPr="00074366">
        <w:rPr>
          <w:rFonts w:ascii="Times New Roman" w:eastAsia="Times New Roman" w:hAnsi="Times New Roman"/>
          <w:noProof/>
          <w:sz w:val="20"/>
          <w:szCs w:val="18"/>
          <w:lang w:val="fr-FR" w:eastAsia="fr-FR"/>
        </w:rPr>
        <w:drawing>
          <wp:inline distT="0" distB="0" distL="0" distR="0" wp14:anchorId="621C9529" wp14:editId="1628CE62">
            <wp:extent cx="85725" cy="857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74366">
        <w:rPr>
          <w:rFonts w:ascii="Arial" w:eastAsia="Arial" w:hAnsi="Arial"/>
          <w:sz w:val="20"/>
          <w:szCs w:val="18"/>
        </w:rPr>
        <w:t>un document (organigramme) présentant le groupe dans son ensemble et récapitulant les liens capitalistiques entre les sociétés du groupe d’annonceurs et leur société-mère ;</w:t>
      </w:r>
    </w:p>
    <w:p w:rsidR="00074366" w:rsidRPr="00074366" w:rsidRDefault="00074366" w:rsidP="00970E85">
      <w:pPr>
        <w:tabs>
          <w:tab w:val="left" w:pos="10490"/>
        </w:tabs>
        <w:spacing w:line="18" w:lineRule="exact"/>
        <w:ind w:right="680"/>
        <w:rPr>
          <w:rFonts w:ascii="Times New Roman" w:eastAsia="Times New Roman" w:hAnsi="Times New Roman"/>
          <w:sz w:val="20"/>
          <w:szCs w:val="18"/>
        </w:rPr>
      </w:pPr>
    </w:p>
    <w:p w:rsidR="00074366" w:rsidRPr="00074366" w:rsidRDefault="00074366" w:rsidP="00970E85">
      <w:pPr>
        <w:tabs>
          <w:tab w:val="left" w:pos="10490"/>
        </w:tabs>
        <w:spacing w:line="0" w:lineRule="atLeast"/>
        <w:ind w:left="875" w:right="680" w:hanging="155"/>
        <w:jc w:val="both"/>
        <w:rPr>
          <w:rFonts w:ascii="Arial" w:eastAsia="Arial" w:hAnsi="Arial"/>
          <w:sz w:val="20"/>
          <w:szCs w:val="18"/>
        </w:rPr>
      </w:pPr>
      <w:r w:rsidRPr="00074366">
        <w:rPr>
          <w:rFonts w:ascii="Times New Roman" w:eastAsia="Times New Roman" w:hAnsi="Times New Roman"/>
          <w:noProof/>
          <w:sz w:val="20"/>
          <w:szCs w:val="18"/>
          <w:lang w:val="fr-FR" w:eastAsia="fr-FR"/>
        </w:rPr>
        <w:drawing>
          <wp:inline distT="0" distB="0" distL="0" distR="0" wp14:anchorId="7D932BF2" wp14:editId="45BCF261">
            <wp:extent cx="85725" cy="857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74366">
        <w:rPr>
          <w:rFonts w:ascii="Arial" w:eastAsia="Arial" w:hAnsi="Arial"/>
          <w:sz w:val="20"/>
          <w:szCs w:val="18"/>
        </w:rPr>
        <w:t>une déclaration de la société-mère aux termes de laquelle elle se porte garante de l’acceptation de la consolidation et de ses conséquences par l’ensemble de ses filiales et garantit France Télévisions Publicité contre toute réclamation ou tout litige à ce titre.</w:t>
      </w:r>
    </w:p>
    <w:p w:rsidR="00074366" w:rsidRPr="00074366" w:rsidRDefault="00074366" w:rsidP="00970E85">
      <w:pPr>
        <w:tabs>
          <w:tab w:val="left" w:pos="10490"/>
        </w:tabs>
        <w:spacing w:line="268" w:lineRule="exact"/>
        <w:ind w:right="680"/>
        <w:rPr>
          <w:rFonts w:ascii="Times New Roman" w:eastAsia="Times New Roman" w:hAnsi="Times New Roman"/>
          <w:sz w:val="20"/>
          <w:szCs w:val="18"/>
        </w:rPr>
      </w:pPr>
    </w:p>
    <w:p w:rsidR="00074366" w:rsidRPr="00074366" w:rsidRDefault="00074366" w:rsidP="00970E85">
      <w:pPr>
        <w:tabs>
          <w:tab w:val="left" w:pos="10490"/>
        </w:tabs>
        <w:spacing w:line="294" w:lineRule="auto"/>
        <w:ind w:left="20" w:right="680"/>
        <w:jc w:val="both"/>
        <w:rPr>
          <w:rFonts w:ascii="Arial" w:eastAsia="Arial" w:hAnsi="Arial"/>
          <w:sz w:val="20"/>
          <w:szCs w:val="18"/>
        </w:rPr>
      </w:pPr>
      <w:r w:rsidRPr="00074366">
        <w:rPr>
          <w:rFonts w:ascii="Arial" w:eastAsia="Arial" w:hAnsi="Arial"/>
          <w:sz w:val="20"/>
          <w:szCs w:val="18"/>
        </w:rPr>
        <w:t>L’accord pour la consolidation totale ou partielle des investissements sera accordé par France Télévisions Publicité compte tenu du dossier présenté. Les groupes d’annonceurs constitués au titre de l’année N-1 sont reconduits automatiquement sauf modification de leur périmètre ou dénonciation avant le 31 décembre de l’année N-1. Toute modification du périmètre de consolidation d’un groupe d’annonceurs doit être notifiée par écrit à France Télévisions Publicité sans délai par le repré-sentant légal ou toute personne habilitée en vue d’une modification du groupe d’annonceurs. Toutes les entités du groupe d’annonceurs demeurent annonceur chacune pour leur part et continuent de recevoir les factures afférentes à leurs achats. La consolidation n’intervient que lors du calcul et de la liquidation des remises commerciales. L’imputation du bénéfice des remises est effectuée proportionnellement à la contribution de chaque filiale au Chiffre d’Affaires du groupe d’annonceurs.</w:t>
      </w:r>
    </w:p>
    <w:p w:rsidR="00074366" w:rsidRDefault="00074366" w:rsidP="00970E85">
      <w:pPr>
        <w:tabs>
          <w:tab w:val="left" w:pos="10490"/>
        </w:tabs>
        <w:spacing w:line="0" w:lineRule="atLeast"/>
        <w:ind w:right="680"/>
        <w:rPr>
          <w:rFonts w:ascii="Arial" w:eastAsia="Arial" w:hAnsi="Arial"/>
          <w:color w:val="F8122B"/>
        </w:rPr>
      </w:pPr>
    </w:p>
    <w:p w:rsidR="00074366" w:rsidRDefault="00074366" w:rsidP="00970E85">
      <w:pPr>
        <w:tabs>
          <w:tab w:val="left" w:pos="10490"/>
        </w:tabs>
        <w:spacing w:line="0" w:lineRule="atLeast"/>
        <w:ind w:right="680"/>
        <w:rPr>
          <w:rFonts w:ascii="Arial" w:eastAsia="Arial" w:hAnsi="Arial"/>
          <w:color w:val="F8122B"/>
        </w:rPr>
      </w:pPr>
    </w:p>
    <w:p w:rsidR="00074366" w:rsidRDefault="00074366" w:rsidP="00970E85">
      <w:pPr>
        <w:tabs>
          <w:tab w:val="left" w:pos="10490"/>
        </w:tabs>
        <w:spacing w:line="0" w:lineRule="atLeast"/>
        <w:ind w:right="680"/>
        <w:rPr>
          <w:rFonts w:ascii="Arial" w:eastAsia="Arial" w:hAnsi="Arial"/>
          <w:color w:val="F8122B"/>
        </w:rPr>
      </w:pPr>
      <w:r>
        <w:rPr>
          <w:rFonts w:ascii="Arial" w:eastAsia="Arial" w:hAnsi="Arial"/>
          <w:noProof/>
          <w:color w:val="FFFFFF"/>
          <w:lang w:val="fr-FR" w:eastAsia="fr-FR"/>
        </w:rPr>
        <w:drawing>
          <wp:anchor distT="0" distB="0" distL="114300" distR="114300" simplePos="0" relativeHeight="251659264" behindDoc="1" locked="0" layoutInCell="1" allowOverlap="1" wp14:anchorId="13574B35" wp14:editId="367F0D2D">
            <wp:simplePos x="0" y="0"/>
            <wp:positionH relativeFrom="page">
              <wp:posOffset>1441450</wp:posOffset>
            </wp:positionH>
            <wp:positionV relativeFrom="page">
              <wp:posOffset>0</wp:posOffset>
            </wp:positionV>
            <wp:extent cx="6118860" cy="180975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18860" cy="1809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olor w:val="F8122B"/>
        </w:rPr>
        <w:t>APPLICATIONS DES CONDITIONS TARIFAIRES</w:t>
      </w:r>
    </w:p>
    <w:p w:rsidR="00074366" w:rsidRPr="00074366" w:rsidRDefault="00074366" w:rsidP="00970E85">
      <w:pPr>
        <w:tabs>
          <w:tab w:val="left" w:pos="10490"/>
        </w:tabs>
        <w:spacing w:line="271" w:lineRule="exact"/>
        <w:ind w:right="680"/>
        <w:rPr>
          <w:rFonts w:ascii="Times New Roman" w:eastAsia="Times New Roman" w:hAnsi="Times New Roman"/>
          <w:sz w:val="18"/>
          <w:szCs w:val="18"/>
        </w:rPr>
      </w:pPr>
    </w:p>
    <w:p w:rsidR="00074366" w:rsidRPr="00074366" w:rsidRDefault="00074366" w:rsidP="00970E85">
      <w:pPr>
        <w:tabs>
          <w:tab w:val="left" w:pos="10490"/>
        </w:tabs>
        <w:spacing w:line="0" w:lineRule="atLeast"/>
        <w:ind w:right="680"/>
        <w:rPr>
          <w:rFonts w:ascii="Arial" w:eastAsia="Arial" w:hAnsi="Arial"/>
          <w:sz w:val="20"/>
          <w:szCs w:val="18"/>
        </w:rPr>
      </w:pPr>
      <w:r w:rsidRPr="00074366">
        <w:rPr>
          <w:rFonts w:ascii="Arial" w:eastAsia="Arial" w:hAnsi="Arial"/>
          <w:sz w:val="20"/>
          <w:szCs w:val="18"/>
        </w:rPr>
        <w:t>Les conditions tarifaires seront appliquées sur chaque message publicitaire.</w:t>
      </w:r>
    </w:p>
    <w:p w:rsidR="00074366" w:rsidRPr="00074366" w:rsidRDefault="00074366" w:rsidP="00074366">
      <w:pPr>
        <w:spacing w:line="269" w:lineRule="exact"/>
        <w:rPr>
          <w:rFonts w:ascii="Times New Roman" w:eastAsia="Times New Roman" w:hAnsi="Times New Roman"/>
          <w:sz w:val="24"/>
        </w:rPr>
      </w:pPr>
    </w:p>
    <w:p w:rsidR="00074366" w:rsidRDefault="00074366" w:rsidP="00074366">
      <w:pPr>
        <w:spacing w:line="269" w:lineRule="exact"/>
        <w:rPr>
          <w:rFonts w:ascii="Times New Roman" w:eastAsia="Times New Roman" w:hAnsi="Times New Roman"/>
        </w:rPr>
      </w:pPr>
    </w:p>
    <w:p w:rsidR="00074366" w:rsidRDefault="00074366" w:rsidP="00074366">
      <w:pPr>
        <w:spacing w:line="0" w:lineRule="atLeast"/>
        <w:rPr>
          <w:rFonts w:ascii="Arial" w:eastAsia="Arial" w:hAnsi="Arial"/>
          <w:color w:val="F8122B"/>
        </w:rPr>
      </w:pPr>
    </w:p>
    <w:p w:rsidR="00074366" w:rsidRDefault="00074366" w:rsidP="00074366">
      <w:pPr>
        <w:spacing w:line="0" w:lineRule="atLeast"/>
        <w:rPr>
          <w:rFonts w:ascii="Arial" w:eastAsia="Arial" w:hAnsi="Arial"/>
          <w:color w:val="F8122B"/>
        </w:rPr>
      </w:pPr>
    </w:p>
    <w:p w:rsidR="00074366" w:rsidRDefault="00074366" w:rsidP="00074366">
      <w:pPr>
        <w:spacing w:line="0" w:lineRule="atLeast"/>
        <w:rPr>
          <w:rFonts w:ascii="Arial" w:eastAsia="Arial" w:hAnsi="Arial"/>
          <w:color w:val="F8122B"/>
        </w:rPr>
      </w:pPr>
    </w:p>
    <w:p w:rsidR="00074366" w:rsidRDefault="00074366" w:rsidP="00074366">
      <w:pPr>
        <w:spacing w:line="0" w:lineRule="atLeast"/>
        <w:rPr>
          <w:rFonts w:ascii="Arial" w:eastAsia="Arial" w:hAnsi="Arial"/>
          <w:color w:val="F8122B"/>
        </w:rPr>
      </w:pPr>
    </w:p>
    <w:p w:rsidR="00074366" w:rsidRDefault="00074366" w:rsidP="00074366">
      <w:pPr>
        <w:spacing w:line="0" w:lineRule="atLeast"/>
        <w:rPr>
          <w:rFonts w:ascii="Arial" w:eastAsia="Arial" w:hAnsi="Arial"/>
          <w:color w:val="F8122B"/>
        </w:rPr>
      </w:pPr>
    </w:p>
    <w:p w:rsidR="00074366" w:rsidRDefault="00074366" w:rsidP="00074366">
      <w:pPr>
        <w:spacing w:line="0" w:lineRule="atLeast"/>
        <w:rPr>
          <w:rFonts w:ascii="Arial" w:eastAsia="Arial" w:hAnsi="Arial"/>
          <w:color w:val="F8122B"/>
        </w:rPr>
      </w:pPr>
    </w:p>
    <w:p w:rsidR="00074366" w:rsidRDefault="00074366" w:rsidP="00970E85">
      <w:pPr>
        <w:tabs>
          <w:tab w:val="left" w:pos="10490"/>
        </w:tabs>
        <w:spacing w:line="0" w:lineRule="atLeast"/>
        <w:ind w:right="680"/>
        <w:rPr>
          <w:rFonts w:ascii="Arial" w:eastAsia="Arial" w:hAnsi="Arial"/>
          <w:color w:val="F8122B"/>
        </w:rPr>
      </w:pPr>
      <w:r>
        <w:rPr>
          <w:rFonts w:ascii="Arial" w:eastAsia="Arial" w:hAnsi="Arial"/>
          <w:color w:val="F8122B"/>
        </w:rPr>
        <w:t>CONDITIONS PARTICULIÈRES</w:t>
      </w:r>
    </w:p>
    <w:p w:rsidR="00074366" w:rsidRDefault="00074366" w:rsidP="00970E85">
      <w:pPr>
        <w:tabs>
          <w:tab w:val="left" w:pos="10490"/>
        </w:tabs>
        <w:spacing w:line="271" w:lineRule="exact"/>
        <w:ind w:right="680"/>
        <w:rPr>
          <w:rFonts w:ascii="Times New Roman" w:eastAsia="Times New Roman" w:hAnsi="Times New Roman"/>
        </w:rPr>
      </w:pPr>
    </w:p>
    <w:p w:rsidR="00074366" w:rsidRPr="00074366" w:rsidRDefault="00074366" w:rsidP="00970E85">
      <w:pPr>
        <w:tabs>
          <w:tab w:val="left" w:pos="10490"/>
        </w:tabs>
        <w:spacing w:line="277" w:lineRule="auto"/>
        <w:ind w:right="680"/>
        <w:jc w:val="both"/>
        <w:rPr>
          <w:rFonts w:ascii="Arial" w:eastAsia="Arial" w:hAnsi="Arial"/>
          <w:sz w:val="20"/>
        </w:rPr>
      </w:pPr>
      <w:r w:rsidRPr="00074366">
        <w:rPr>
          <w:rFonts w:ascii="Arial" w:eastAsia="Arial" w:hAnsi="Arial"/>
          <w:sz w:val="20"/>
          <w:szCs w:val="18"/>
        </w:rPr>
        <w:t>En contrepartie de la souscription par l’annonceur d’un engagement contractuel ferme et définitif pour l’année civile concernant ses investissements publicitaires, France Télévisions Publicité appliquera le Taux CGV sur chaque message publicitaire. En cas de non-respect par l’annonceur des échéances de paiement mentionnées sur les factures de France Télévisions Publicité ou si la réalisation de ses engagements par l’annonceur s’avérait manifestement impossible, France Télévisions Publicité pourra suspendre l’application de la remise résultant du Taux CGV sans préavis, et dem</w:t>
      </w:r>
      <w:r>
        <w:rPr>
          <w:rFonts w:ascii="Arial" w:eastAsia="Arial" w:hAnsi="Arial"/>
          <w:sz w:val="20"/>
          <w:szCs w:val="18"/>
        </w:rPr>
        <w:t>ander le remboursement immédiat</w:t>
      </w:r>
      <w:r w:rsidRPr="00074366">
        <w:rPr>
          <w:rFonts w:ascii="Arial" w:eastAsia="Arial" w:hAnsi="Arial"/>
          <w:sz w:val="20"/>
          <w:szCs w:val="18"/>
        </w:rPr>
        <w:t xml:space="preserve"> des avantages indûment versés</w:t>
      </w:r>
      <w:r w:rsidRPr="00074366">
        <w:rPr>
          <w:rFonts w:ascii="Arial" w:eastAsia="Arial" w:hAnsi="Arial"/>
          <w:sz w:val="20"/>
        </w:rPr>
        <w:t xml:space="preserve"> majorés d’une pénalité de 15 %.</w:t>
      </w:r>
    </w:p>
    <w:p w:rsidR="00074366" w:rsidRDefault="00074366" w:rsidP="00970E85">
      <w:pPr>
        <w:tabs>
          <w:tab w:val="left" w:pos="10490"/>
        </w:tabs>
        <w:spacing w:line="236" w:lineRule="exact"/>
        <w:ind w:right="680"/>
        <w:rPr>
          <w:rFonts w:ascii="Times New Roman" w:eastAsia="Times New Roman" w:hAnsi="Times New Roman"/>
        </w:rPr>
      </w:pPr>
    </w:p>
    <w:p w:rsidR="00074366" w:rsidRDefault="00074366" w:rsidP="00970E85">
      <w:pPr>
        <w:tabs>
          <w:tab w:val="left" w:pos="10490"/>
        </w:tabs>
        <w:spacing w:line="236" w:lineRule="exact"/>
        <w:ind w:right="680"/>
        <w:rPr>
          <w:rFonts w:ascii="Times New Roman" w:eastAsia="Times New Roman" w:hAnsi="Times New Roman"/>
        </w:rPr>
      </w:pPr>
      <w:r>
        <w:rPr>
          <w:rFonts w:ascii="Arial" w:eastAsia="Arial" w:hAnsi="Arial"/>
          <w:noProof/>
          <w:color w:val="F8122B"/>
          <w:lang w:val="fr-FR" w:eastAsia="fr-FR"/>
        </w:rPr>
        <mc:AlternateContent>
          <mc:Choice Requires="wps">
            <w:drawing>
              <wp:anchor distT="0" distB="0" distL="114300" distR="114300" simplePos="0" relativeHeight="251662336" behindDoc="0" locked="0" layoutInCell="1" allowOverlap="1" wp14:anchorId="52418605" wp14:editId="61331181">
                <wp:simplePos x="0" y="0"/>
                <wp:positionH relativeFrom="column">
                  <wp:posOffset>1685925</wp:posOffset>
                </wp:positionH>
                <wp:positionV relativeFrom="paragraph">
                  <wp:posOffset>1905</wp:posOffset>
                </wp:positionV>
                <wp:extent cx="1060450" cy="499745"/>
                <wp:effectExtent l="0" t="0" r="0" b="0"/>
                <wp:wrapNone/>
                <wp:docPr id="10" name="Rectangle 10"/>
                <wp:cNvGraphicFramePr/>
                <a:graphic xmlns:a="http://schemas.openxmlformats.org/drawingml/2006/main">
                  <a:graphicData uri="http://schemas.microsoft.com/office/word/2010/wordprocessingShape">
                    <wps:wsp>
                      <wps:cNvSpPr/>
                      <wps:spPr>
                        <a:xfrm>
                          <a:off x="0" y="0"/>
                          <a:ext cx="1060450" cy="4997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4366" w:rsidRDefault="00074366" w:rsidP="00074366">
                            <w:pPr>
                              <w:jc w:val="center"/>
                            </w:pPr>
                            <w:r>
                              <w:rPr>
                                <w:noProof/>
                                <w:lang w:val="fr-FR" w:eastAsia="fr-FR"/>
                              </w:rPr>
                              <w:drawing>
                                <wp:inline distT="0" distB="0" distL="0" distR="0" wp14:anchorId="3EDE4F60" wp14:editId="7197DB55">
                                  <wp:extent cx="746777" cy="245715"/>
                                  <wp:effectExtent l="0" t="0" r="0" b="2540"/>
                                  <wp:docPr id="11" name="Image 11" descr="Logo France Télévision Public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France Télévision Publicité"/>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6808" cy="245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32.75pt;margin-top:.15pt;width:83.5pt;height:39.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" filled="f" stroked="f" strokeweight="2pt">
                <v:textbox>
                  <w:txbxContent>
                    <w:p w:rsidR="00074366" w:rsidRDefault="00074366" w:rsidP="00074366">
                      <w:pPr>
                        <w:jc w:val="center"/>
                      </w:pPr>
                      <w:r>
                        <w:rPr>
                          <w:noProof/>
                          <w:lang w:val="fr-FR" w:eastAsia="fr-FR"/>
                        </w:rPr>
                        <w:drawing>
                          <wp:inline distT="0" distB="0" distL="0" distR="0" wp14:anchorId="3EDE4F60" wp14:editId="7197DB55">
                            <wp:extent cx="746777" cy="245715"/>
                            <wp:effectExtent l="0" t="0" r="0" b="2540"/>
                            <wp:docPr id="11" name="Image 11" descr="Logo France Télévision Public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France Télévision Publicité"/>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6808" cy="245725"/>
                                    </a:xfrm>
                                    <a:prstGeom prst="rect">
                                      <a:avLst/>
                                    </a:prstGeom>
                                    <a:noFill/>
                                    <a:ln>
                                      <a:noFill/>
                                    </a:ln>
                                  </pic:spPr>
                                </pic:pic>
                              </a:graphicData>
                            </a:graphic>
                          </wp:inline>
                        </w:drawing>
                      </w:r>
                    </w:p>
                  </w:txbxContent>
                </v:textbox>
              </v:rect>
            </w:pict>
          </mc:Fallback>
        </mc:AlternateContent>
      </w:r>
    </w:p>
    <w:p w:rsidR="00074366" w:rsidRDefault="00074366" w:rsidP="00970E85">
      <w:pPr>
        <w:tabs>
          <w:tab w:val="left" w:pos="10490"/>
        </w:tabs>
        <w:spacing w:line="0" w:lineRule="atLeast"/>
        <w:ind w:right="680"/>
        <w:rPr>
          <w:rFonts w:ascii="Arial" w:eastAsia="Arial" w:hAnsi="Arial"/>
          <w:color w:val="F8122B"/>
        </w:rPr>
      </w:pPr>
      <w:r>
        <w:rPr>
          <w:rFonts w:ascii="Arial" w:eastAsia="Arial" w:hAnsi="Arial"/>
          <w:color w:val="F8122B"/>
        </w:rPr>
        <w:t xml:space="preserve">EXTRANET FINANCIER : </w:t>
      </w:r>
    </w:p>
    <w:p w:rsidR="00074366" w:rsidRDefault="00074366" w:rsidP="00970E85">
      <w:pPr>
        <w:tabs>
          <w:tab w:val="left" w:pos="10490"/>
        </w:tabs>
        <w:spacing w:line="271" w:lineRule="exact"/>
        <w:ind w:right="680"/>
        <w:rPr>
          <w:rFonts w:ascii="Times New Roman" w:eastAsia="Times New Roman" w:hAnsi="Times New Roman"/>
        </w:rPr>
      </w:pPr>
    </w:p>
    <w:p w:rsidR="00074366" w:rsidRPr="00074366" w:rsidRDefault="00074366" w:rsidP="00970E85">
      <w:pPr>
        <w:tabs>
          <w:tab w:val="left" w:pos="10490"/>
        </w:tabs>
        <w:spacing w:line="262" w:lineRule="auto"/>
        <w:ind w:right="680"/>
        <w:jc w:val="both"/>
        <w:rPr>
          <w:rFonts w:ascii="Arial" w:eastAsia="Arial" w:hAnsi="Arial"/>
          <w:sz w:val="20"/>
        </w:rPr>
      </w:pPr>
      <w:r w:rsidRPr="00074366">
        <w:rPr>
          <w:rFonts w:ascii="Arial" w:eastAsia="Arial" w:hAnsi="Arial"/>
          <w:sz w:val="20"/>
        </w:rPr>
        <w:t>Cet outil met à disposition des duplicatas de factures via Internet. Pour obtenir des codes d’accès, merci d’adresser un courriel avec le formulaire de demande d’accès (disponible sur le site www.francetvpub.fr) à l’adresse suivante : adv@francetvpub.fr</w:t>
      </w:r>
    </w:p>
    <w:p w:rsidR="00074366" w:rsidRDefault="00074366" w:rsidP="00074366">
      <w:pPr>
        <w:spacing w:line="20" w:lineRule="exact"/>
        <w:rPr>
          <w:rFonts w:ascii="Times New Roman" w:eastAsia="Times New Roman" w:hAnsi="Times New Roman"/>
        </w:rPr>
      </w:pPr>
      <w:r>
        <w:rPr>
          <w:rFonts w:ascii="Arial" w:eastAsia="Arial" w:hAnsi="Arial"/>
          <w:noProof/>
          <w:lang w:val="fr-FR" w:eastAsia="fr-FR"/>
        </w:rPr>
        <w:drawing>
          <wp:anchor distT="0" distB="0" distL="114300" distR="114300" simplePos="0" relativeHeight="251660288" behindDoc="1" locked="0" layoutInCell="1" allowOverlap="1" wp14:anchorId="16ECE6CE" wp14:editId="325527A5">
            <wp:simplePos x="0" y="0"/>
            <wp:positionH relativeFrom="column">
              <wp:posOffset>6126480</wp:posOffset>
            </wp:positionH>
            <wp:positionV relativeFrom="paragraph">
              <wp:posOffset>6590030</wp:posOffset>
            </wp:positionV>
            <wp:extent cx="887730" cy="506095"/>
            <wp:effectExtent l="0" t="0" r="7620" b="825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7730" cy="506095"/>
                    </a:xfrm>
                    <a:prstGeom prst="rect">
                      <a:avLst/>
                    </a:prstGeom>
                    <a:noFill/>
                  </pic:spPr>
                </pic:pic>
              </a:graphicData>
            </a:graphic>
            <wp14:sizeRelH relativeFrom="page">
              <wp14:pctWidth>0</wp14:pctWidth>
            </wp14:sizeRelH>
            <wp14:sizeRelV relativeFrom="page">
              <wp14:pctHeight>0</wp14:pctHeight>
            </wp14:sizeRelV>
          </wp:anchor>
        </w:drawing>
      </w:r>
    </w:p>
    <w:p w:rsidR="00074366" w:rsidRDefault="00074366" w:rsidP="00074366">
      <w:pPr>
        <w:spacing w:line="200" w:lineRule="exact"/>
        <w:rPr>
          <w:rFonts w:ascii="Times New Roman" w:eastAsia="Times New Roman" w:hAnsi="Times New Roman"/>
        </w:rPr>
      </w:pPr>
    </w:p>
    <w:p w:rsidR="00A40896" w:rsidRDefault="00A40896">
      <w:pPr>
        <w:pStyle w:val="Corpsdetexte"/>
        <w:spacing w:before="5"/>
        <w:ind w:left="0"/>
        <w:rPr>
          <w:rFonts w:ascii="HeldustryFTVBasic Black"/>
          <w:sz w:val="22"/>
        </w:rPr>
      </w:pPr>
    </w:p>
    <w:sectPr w:rsidR="00A40896">
      <w:headerReference w:type="default" r:id="rId13"/>
      <w:footerReference w:type="even" r:id="rId14"/>
      <w:footerReference w:type="default" r:id="rId15"/>
      <w:pgSz w:w="11910" w:h="16840"/>
      <w:pgMar w:top="0" w:right="0" w:bottom="780" w:left="740" w:header="0" w:footer="5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A97" w:rsidRDefault="00811A97">
      <w:r>
        <w:separator/>
      </w:r>
    </w:p>
  </w:endnote>
  <w:endnote w:type="continuationSeparator" w:id="0">
    <w:p w:rsidR="00811A97" w:rsidRDefault="0081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dustryFT Regular">
    <w:altName w:val="Andale Mono"/>
    <w:panose1 w:val="02000503040000020004"/>
    <w:charset w:val="00"/>
    <w:family w:val="auto"/>
    <w:pitch w:val="variable"/>
    <w:sig w:usb0="800000A3" w:usb1="00000000" w:usb2="00000000" w:usb3="00000000" w:csb0="00000008"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dustryFTVBasic Black">
    <w:altName w:val="Lucida Grande"/>
    <w:panose1 w:val="02000603040000020004"/>
    <w:charset w:val="00"/>
    <w:family w:val="auto"/>
    <w:pitch w:val="variable"/>
    <w:sig w:usb0="80000023" w:usb1="00000000" w:usb2="00000000" w:usb3="00000000" w:csb0="00000000" w:csb1="00000000"/>
  </w:font>
  <w:font w:name="HeldustryFT Demi">
    <w:altName w:val="Lucida Grande"/>
    <w:panose1 w:val="02000803040000020004"/>
    <w:charset w:val="00"/>
    <w:family w:val="auto"/>
    <w:pitch w:val="variable"/>
    <w:sig w:usb0="800000A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BA1" w:rsidRDefault="00E35BA1" w:rsidP="00DA7D4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35BA1" w:rsidRDefault="00E35BA1" w:rsidP="00E35BA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BA1" w:rsidRPr="00E35BA1" w:rsidRDefault="00E35BA1" w:rsidP="00406507">
    <w:pPr>
      <w:pStyle w:val="Pieddepage"/>
      <w:framePr w:wrap="around" w:vAnchor="text" w:hAnchor="page" w:x="11631" w:y="143"/>
      <w:rPr>
        <w:rStyle w:val="Numrodepage"/>
        <w:rFonts w:ascii="Arial" w:hAnsi="Arial" w:cs="Arial"/>
        <w:sz w:val="18"/>
        <w:szCs w:val="18"/>
      </w:rPr>
    </w:pPr>
    <w:r w:rsidRPr="00E35BA1">
      <w:rPr>
        <w:rStyle w:val="Numrodepage"/>
        <w:rFonts w:ascii="Arial" w:hAnsi="Arial" w:cs="Arial"/>
        <w:sz w:val="18"/>
        <w:szCs w:val="18"/>
      </w:rPr>
      <w:fldChar w:fldCharType="begin"/>
    </w:r>
    <w:r w:rsidRPr="00E35BA1">
      <w:rPr>
        <w:rStyle w:val="Numrodepage"/>
        <w:rFonts w:ascii="Arial" w:hAnsi="Arial" w:cs="Arial"/>
        <w:sz w:val="18"/>
        <w:szCs w:val="18"/>
      </w:rPr>
      <w:instrText xml:space="preserve">PAGE  </w:instrText>
    </w:r>
    <w:r w:rsidRPr="00E35BA1">
      <w:rPr>
        <w:rStyle w:val="Numrodepage"/>
        <w:rFonts w:ascii="Arial" w:hAnsi="Arial" w:cs="Arial"/>
        <w:sz w:val="18"/>
        <w:szCs w:val="18"/>
      </w:rPr>
      <w:fldChar w:fldCharType="separate"/>
    </w:r>
    <w:r w:rsidR="00840CA4">
      <w:rPr>
        <w:rStyle w:val="Numrodepage"/>
        <w:rFonts w:ascii="Arial" w:hAnsi="Arial" w:cs="Arial"/>
        <w:noProof/>
        <w:sz w:val="18"/>
        <w:szCs w:val="18"/>
      </w:rPr>
      <w:t>2</w:t>
    </w:r>
    <w:r w:rsidRPr="00E35BA1">
      <w:rPr>
        <w:rStyle w:val="Numrodepage"/>
        <w:rFonts w:ascii="Arial" w:hAnsi="Arial" w:cs="Arial"/>
        <w:sz w:val="18"/>
        <w:szCs w:val="18"/>
      </w:rPr>
      <w:fldChar w:fldCharType="end"/>
    </w:r>
  </w:p>
  <w:p w:rsidR="00A40896" w:rsidRDefault="00A40896" w:rsidP="00E35BA1">
    <w:pPr>
      <w:pStyle w:val="Corpsdetexte"/>
      <w:spacing w:line="14" w:lineRule="auto"/>
      <w:ind w:left="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A97" w:rsidRDefault="00811A97">
      <w:r>
        <w:separator/>
      </w:r>
    </w:p>
  </w:footnote>
  <w:footnote w:type="continuationSeparator" w:id="0">
    <w:p w:rsidR="00811A97" w:rsidRDefault="00811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20" w:rsidRPr="00A06220" w:rsidRDefault="00A06220" w:rsidP="00A06220">
    <w:pPr>
      <w:pStyle w:val="En-tte"/>
      <w:ind w:left="-709"/>
    </w:pPr>
    <w:r>
      <w:rPr>
        <w:noProof/>
        <w:lang w:val="fr-FR" w:eastAsia="fr-FR"/>
      </w:rPr>
      <w:drawing>
        <wp:anchor distT="0" distB="0" distL="114300" distR="114300" simplePos="0" relativeHeight="251659264" behindDoc="1" locked="0" layoutInCell="1" allowOverlap="1" wp14:anchorId="01690FEA" wp14:editId="3694340A">
          <wp:simplePos x="0" y="0"/>
          <wp:positionH relativeFrom="column">
            <wp:posOffset>-488950</wp:posOffset>
          </wp:positionH>
          <wp:positionV relativeFrom="paragraph">
            <wp:posOffset>0</wp:posOffset>
          </wp:positionV>
          <wp:extent cx="7558838" cy="10692000"/>
          <wp:effectExtent l="0" t="0" r="10795" b="190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079 - Fiches pratiques_background 1.png"/>
                  <pic:cNvPicPr/>
                </pic:nvPicPr>
                <pic:blipFill>
                  <a:blip r:embed="rId1">
                    <a:extLst>
                      <a:ext uri="{28A0092B-C50C-407E-A947-70E740481C1C}">
                        <a14:useLocalDpi xmlns:a14="http://schemas.microsoft.com/office/drawing/2010/main" val="0"/>
                      </a:ext>
                    </a:extLst>
                  </a:blip>
                  <a:stretch>
                    <a:fillRect/>
                  </a:stretch>
                </pic:blipFill>
                <pic:spPr>
                  <a:xfrm>
                    <a:off x="0" y="0"/>
                    <a:ext cx="7558838" cy="10692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F89"/>
    <w:multiLevelType w:val="hybridMultilevel"/>
    <w:tmpl w:val="B0A8C152"/>
    <w:lvl w:ilvl="0" w:tplc="22187E6A">
      <w:start w:val="1"/>
      <w:numFmt w:val="decimal"/>
      <w:lvlText w:val="%1)"/>
      <w:lvlJc w:val="left"/>
      <w:pPr>
        <w:ind w:left="279" w:hanging="169"/>
        <w:jc w:val="left"/>
      </w:pPr>
      <w:rPr>
        <w:rFonts w:ascii="HeldustryFT Regular" w:eastAsia="HeldustryFT Regular" w:hAnsi="HeldustryFT Regular" w:cs="HeldustryFT Regular" w:hint="default"/>
        <w:w w:val="100"/>
        <w:sz w:val="20"/>
        <w:szCs w:val="20"/>
      </w:rPr>
    </w:lvl>
    <w:lvl w:ilvl="1" w:tplc="1F380FAC">
      <w:numFmt w:val="bullet"/>
      <w:lvlText w:val="•"/>
      <w:lvlJc w:val="left"/>
      <w:pPr>
        <w:ind w:left="1368" w:hanging="169"/>
      </w:pPr>
      <w:rPr>
        <w:rFonts w:hint="default"/>
      </w:rPr>
    </w:lvl>
    <w:lvl w:ilvl="2" w:tplc="9FA88E46">
      <w:numFmt w:val="bullet"/>
      <w:lvlText w:val="•"/>
      <w:lvlJc w:val="left"/>
      <w:pPr>
        <w:ind w:left="2457" w:hanging="169"/>
      </w:pPr>
      <w:rPr>
        <w:rFonts w:hint="default"/>
      </w:rPr>
    </w:lvl>
    <w:lvl w:ilvl="3" w:tplc="9D9AAF6A">
      <w:numFmt w:val="bullet"/>
      <w:lvlText w:val="•"/>
      <w:lvlJc w:val="left"/>
      <w:pPr>
        <w:ind w:left="3545" w:hanging="169"/>
      </w:pPr>
      <w:rPr>
        <w:rFonts w:hint="default"/>
      </w:rPr>
    </w:lvl>
    <w:lvl w:ilvl="4" w:tplc="E32CC538">
      <w:numFmt w:val="bullet"/>
      <w:lvlText w:val="•"/>
      <w:lvlJc w:val="left"/>
      <w:pPr>
        <w:ind w:left="4634" w:hanging="169"/>
      </w:pPr>
      <w:rPr>
        <w:rFonts w:hint="default"/>
      </w:rPr>
    </w:lvl>
    <w:lvl w:ilvl="5" w:tplc="6ADE2DA2">
      <w:numFmt w:val="bullet"/>
      <w:lvlText w:val="•"/>
      <w:lvlJc w:val="left"/>
      <w:pPr>
        <w:ind w:left="5722" w:hanging="169"/>
      </w:pPr>
      <w:rPr>
        <w:rFonts w:hint="default"/>
      </w:rPr>
    </w:lvl>
    <w:lvl w:ilvl="6" w:tplc="19B69D8E">
      <w:numFmt w:val="bullet"/>
      <w:lvlText w:val="•"/>
      <w:lvlJc w:val="left"/>
      <w:pPr>
        <w:ind w:left="6811" w:hanging="169"/>
      </w:pPr>
      <w:rPr>
        <w:rFonts w:hint="default"/>
      </w:rPr>
    </w:lvl>
    <w:lvl w:ilvl="7" w:tplc="FBE629B8">
      <w:numFmt w:val="bullet"/>
      <w:lvlText w:val="•"/>
      <w:lvlJc w:val="left"/>
      <w:pPr>
        <w:ind w:left="7899" w:hanging="169"/>
      </w:pPr>
      <w:rPr>
        <w:rFonts w:hint="default"/>
      </w:rPr>
    </w:lvl>
    <w:lvl w:ilvl="8" w:tplc="C2C6ACBC">
      <w:numFmt w:val="bullet"/>
      <w:lvlText w:val="•"/>
      <w:lvlJc w:val="left"/>
      <w:pPr>
        <w:ind w:left="8988" w:hanging="169"/>
      </w:pPr>
      <w:rPr>
        <w:rFonts w:hint="default"/>
      </w:rPr>
    </w:lvl>
  </w:abstractNum>
  <w:abstractNum w:abstractNumId="1">
    <w:nsid w:val="20D41239"/>
    <w:multiLevelType w:val="hybridMultilevel"/>
    <w:tmpl w:val="9B00E2F4"/>
    <w:lvl w:ilvl="0" w:tplc="426A6B84">
      <w:numFmt w:val="bullet"/>
      <w:lvlText w:val="•"/>
      <w:lvlJc w:val="left"/>
      <w:pPr>
        <w:ind w:left="240" w:hanging="130"/>
      </w:pPr>
      <w:rPr>
        <w:rFonts w:ascii="HeldustryFT Regular" w:eastAsia="HeldustryFT Regular" w:hAnsi="HeldustryFT Regular" w:cs="HeldustryFT Regular" w:hint="default"/>
        <w:w w:val="100"/>
        <w:sz w:val="20"/>
        <w:szCs w:val="20"/>
      </w:rPr>
    </w:lvl>
    <w:lvl w:ilvl="1" w:tplc="011616C2">
      <w:numFmt w:val="bullet"/>
      <w:lvlText w:val="–"/>
      <w:lvlJc w:val="left"/>
      <w:pPr>
        <w:ind w:left="945" w:hanging="115"/>
      </w:pPr>
      <w:rPr>
        <w:rFonts w:ascii="HeldustryFT Regular" w:eastAsia="HeldustryFT Regular" w:hAnsi="HeldustryFT Regular" w:cs="HeldustryFT Regular" w:hint="default"/>
        <w:w w:val="100"/>
        <w:sz w:val="20"/>
        <w:szCs w:val="20"/>
      </w:rPr>
    </w:lvl>
    <w:lvl w:ilvl="2" w:tplc="68BC5A90">
      <w:numFmt w:val="bullet"/>
      <w:lvlText w:val="•"/>
      <w:lvlJc w:val="left"/>
      <w:pPr>
        <w:ind w:left="2076" w:hanging="115"/>
      </w:pPr>
      <w:rPr>
        <w:rFonts w:hint="default"/>
      </w:rPr>
    </w:lvl>
    <w:lvl w:ilvl="3" w:tplc="AE1AB500">
      <w:numFmt w:val="bullet"/>
      <w:lvlText w:val="•"/>
      <w:lvlJc w:val="left"/>
      <w:pPr>
        <w:ind w:left="3212" w:hanging="115"/>
      </w:pPr>
      <w:rPr>
        <w:rFonts w:hint="default"/>
      </w:rPr>
    </w:lvl>
    <w:lvl w:ilvl="4" w:tplc="42809CA8">
      <w:numFmt w:val="bullet"/>
      <w:lvlText w:val="•"/>
      <w:lvlJc w:val="left"/>
      <w:pPr>
        <w:ind w:left="4348" w:hanging="115"/>
      </w:pPr>
      <w:rPr>
        <w:rFonts w:hint="default"/>
      </w:rPr>
    </w:lvl>
    <w:lvl w:ilvl="5" w:tplc="6FE048F2">
      <w:numFmt w:val="bullet"/>
      <w:lvlText w:val="•"/>
      <w:lvlJc w:val="left"/>
      <w:pPr>
        <w:ind w:left="5484" w:hanging="115"/>
      </w:pPr>
      <w:rPr>
        <w:rFonts w:hint="default"/>
      </w:rPr>
    </w:lvl>
    <w:lvl w:ilvl="6" w:tplc="EA50964E">
      <w:numFmt w:val="bullet"/>
      <w:lvlText w:val="•"/>
      <w:lvlJc w:val="left"/>
      <w:pPr>
        <w:ind w:left="6620" w:hanging="115"/>
      </w:pPr>
      <w:rPr>
        <w:rFonts w:hint="default"/>
      </w:rPr>
    </w:lvl>
    <w:lvl w:ilvl="7" w:tplc="BFE06658">
      <w:numFmt w:val="bullet"/>
      <w:lvlText w:val="•"/>
      <w:lvlJc w:val="left"/>
      <w:pPr>
        <w:ind w:left="7757" w:hanging="115"/>
      </w:pPr>
      <w:rPr>
        <w:rFonts w:hint="default"/>
      </w:rPr>
    </w:lvl>
    <w:lvl w:ilvl="8" w:tplc="BE3ED4A6">
      <w:numFmt w:val="bullet"/>
      <w:lvlText w:val="•"/>
      <w:lvlJc w:val="left"/>
      <w:pPr>
        <w:ind w:left="8893" w:hanging="115"/>
      </w:pPr>
      <w:rPr>
        <w:rFonts w:hint="default"/>
      </w:rPr>
    </w:lvl>
  </w:abstractNum>
  <w:abstractNum w:abstractNumId="2">
    <w:nsid w:val="50A345DC"/>
    <w:multiLevelType w:val="hybridMultilevel"/>
    <w:tmpl w:val="91283028"/>
    <w:lvl w:ilvl="0" w:tplc="CE6220F2">
      <w:numFmt w:val="bullet"/>
      <w:lvlText w:val="–"/>
      <w:lvlJc w:val="left"/>
      <w:pPr>
        <w:ind w:left="905" w:hanging="115"/>
      </w:pPr>
      <w:rPr>
        <w:rFonts w:ascii="HeldustryFT Regular" w:eastAsia="HeldustryFT Regular" w:hAnsi="HeldustryFT Regular" w:cs="HeldustryFT Regular" w:hint="default"/>
        <w:w w:val="100"/>
        <w:sz w:val="20"/>
        <w:szCs w:val="20"/>
      </w:rPr>
    </w:lvl>
    <w:lvl w:ilvl="1" w:tplc="361EADB2">
      <w:numFmt w:val="bullet"/>
      <w:lvlText w:val="•"/>
      <w:lvlJc w:val="left"/>
      <w:pPr>
        <w:ind w:left="1926" w:hanging="115"/>
      </w:pPr>
      <w:rPr>
        <w:rFonts w:hint="default"/>
      </w:rPr>
    </w:lvl>
    <w:lvl w:ilvl="2" w:tplc="3BAEF432">
      <w:numFmt w:val="bullet"/>
      <w:lvlText w:val="•"/>
      <w:lvlJc w:val="left"/>
      <w:pPr>
        <w:ind w:left="2953" w:hanging="115"/>
      </w:pPr>
      <w:rPr>
        <w:rFonts w:hint="default"/>
      </w:rPr>
    </w:lvl>
    <w:lvl w:ilvl="3" w:tplc="E1EA81B4">
      <w:numFmt w:val="bullet"/>
      <w:lvlText w:val="•"/>
      <w:lvlJc w:val="left"/>
      <w:pPr>
        <w:ind w:left="3979" w:hanging="115"/>
      </w:pPr>
      <w:rPr>
        <w:rFonts w:hint="default"/>
      </w:rPr>
    </w:lvl>
    <w:lvl w:ilvl="4" w:tplc="7DBE887E">
      <w:numFmt w:val="bullet"/>
      <w:lvlText w:val="•"/>
      <w:lvlJc w:val="left"/>
      <w:pPr>
        <w:ind w:left="5006" w:hanging="115"/>
      </w:pPr>
      <w:rPr>
        <w:rFonts w:hint="default"/>
      </w:rPr>
    </w:lvl>
    <w:lvl w:ilvl="5" w:tplc="D0F4C3EC">
      <w:numFmt w:val="bullet"/>
      <w:lvlText w:val="•"/>
      <w:lvlJc w:val="left"/>
      <w:pPr>
        <w:ind w:left="6032" w:hanging="115"/>
      </w:pPr>
      <w:rPr>
        <w:rFonts w:hint="default"/>
      </w:rPr>
    </w:lvl>
    <w:lvl w:ilvl="6" w:tplc="E0000E5C">
      <w:numFmt w:val="bullet"/>
      <w:lvlText w:val="•"/>
      <w:lvlJc w:val="left"/>
      <w:pPr>
        <w:ind w:left="7059" w:hanging="115"/>
      </w:pPr>
      <w:rPr>
        <w:rFonts w:hint="default"/>
      </w:rPr>
    </w:lvl>
    <w:lvl w:ilvl="7" w:tplc="47D62E84">
      <w:numFmt w:val="bullet"/>
      <w:lvlText w:val="•"/>
      <w:lvlJc w:val="left"/>
      <w:pPr>
        <w:ind w:left="8085" w:hanging="115"/>
      </w:pPr>
      <w:rPr>
        <w:rFonts w:hint="default"/>
      </w:rPr>
    </w:lvl>
    <w:lvl w:ilvl="8" w:tplc="E0944AF2">
      <w:numFmt w:val="bullet"/>
      <w:lvlText w:val="•"/>
      <w:lvlJc w:val="left"/>
      <w:pPr>
        <w:ind w:left="9112" w:hanging="11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896"/>
    <w:rsid w:val="00074366"/>
    <w:rsid w:val="002A5242"/>
    <w:rsid w:val="00406507"/>
    <w:rsid w:val="0063472D"/>
    <w:rsid w:val="00683CB1"/>
    <w:rsid w:val="0070682A"/>
    <w:rsid w:val="00811A97"/>
    <w:rsid w:val="00840CA4"/>
    <w:rsid w:val="00842FAB"/>
    <w:rsid w:val="00845BF6"/>
    <w:rsid w:val="00947451"/>
    <w:rsid w:val="00970E85"/>
    <w:rsid w:val="00A06220"/>
    <w:rsid w:val="00A40896"/>
    <w:rsid w:val="00AE2481"/>
    <w:rsid w:val="00CC3DBB"/>
    <w:rsid w:val="00E35BA1"/>
    <w:rsid w:val="00EE74BC"/>
    <w:rsid w:val="00FE34A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D6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HeldustryFT Regular" w:eastAsia="HeldustryFT Regular" w:hAnsi="HeldustryFT Regular" w:cs="HeldustryFT Regular"/>
    </w:rPr>
  </w:style>
  <w:style w:type="paragraph" w:styleId="Titre1">
    <w:name w:val="heading 1"/>
    <w:basedOn w:val="Normal"/>
    <w:uiPriority w:val="1"/>
    <w:qFormat/>
    <w:pPr>
      <w:spacing w:line="533" w:lineRule="exact"/>
      <w:ind w:left="110"/>
      <w:outlineLvl w:val="0"/>
    </w:pPr>
    <w:rPr>
      <w:rFonts w:ascii="HeldustryFTVBasic Black" w:eastAsia="HeldustryFTVBasic Black" w:hAnsi="HeldustryFTVBasic Black" w:cs="HeldustryFTVBasic Black"/>
      <w:sz w:val="48"/>
      <w:szCs w:val="48"/>
    </w:rPr>
  </w:style>
  <w:style w:type="paragraph" w:styleId="Titre2">
    <w:name w:val="heading 2"/>
    <w:basedOn w:val="Normal"/>
    <w:uiPriority w:val="1"/>
    <w:qFormat/>
    <w:pPr>
      <w:ind w:left="110"/>
      <w:outlineLvl w:val="1"/>
    </w:pPr>
    <w:rPr>
      <w:rFonts w:ascii="HeldustryFT Demi" w:eastAsia="HeldustryFT Demi" w:hAnsi="HeldustryFT Demi" w:cs="HeldustryFT Demi"/>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0"/>
    </w:pPr>
    <w:rPr>
      <w:sz w:val="20"/>
      <w:szCs w:val="20"/>
    </w:rPr>
  </w:style>
  <w:style w:type="paragraph" w:styleId="Paragraphedeliste">
    <w:name w:val="List Paragraph"/>
    <w:basedOn w:val="Normal"/>
    <w:uiPriority w:val="1"/>
    <w:qFormat/>
    <w:pPr>
      <w:spacing w:before="17"/>
      <w:ind w:left="945" w:hanging="115"/>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45BF6"/>
    <w:pPr>
      <w:tabs>
        <w:tab w:val="center" w:pos="4536"/>
        <w:tab w:val="right" w:pos="9072"/>
      </w:tabs>
    </w:pPr>
  </w:style>
  <w:style w:type="character" w:customStyle="1" w:styleId="En-tteCar">
    <w:name w:val="En-tête Car"/>
    <w:basedOn w:val="Policepardfaut"/>
    <w:link w:val="En-tte"/>
    <w:uiPriority w:val="99"/>
    <w:rsid w:val="00845BF6"/>
    <w:rPr>
      <w:rFonts w:ascii="HeldustryFT Regular" w:eastAsia="HeldustryFT Regular" w:hAnsi="HeldustryFT Regular" w:cs="HeldustryFT Regular"/>
    </w:rPr>
  </w:style>
  <w:style w:type="paragraph" w:styleId="Pieddepage">
    <w:name w:val="footer"/>
    <w:basedOn w:val="Normal"/>
    <w:link w:val="PieddepageCar"/>
    <w:uiPriority w:val="99"/>
    <w:unhideWhenUsed/>
    <w:rsid w:val="00845BF6"/>
    <w:pPr>
      <w:tabs>
        <w:tab w:val="center" w:pos="4536"/>
        <w:tab w:val="right" w:pos="9072"/>
      </w:tabs>
    </w:pPr>
  </w:style>
  <w:style w:type="character" w:customStyle="1" w:styleId="PieddepageCar">
    <w:name w:val="Pied de page Car"/>
    <w:basedOn w:val="Policepardfaut"/>
    <w:link w:val="Pieddepage"/>
    <w:uiPriority w:val="99"/>
    <w:rsid w:val="00845BF6"/>
    <w:rPr>
      <w:rFonts w:ascii="HeldustryFT Regular" w:eastAsia="HeldustryFT Regular" w:hAnsi="HeldustryFT Regular" w:cs="HeldustryFT Regular"/>
    </w:rPr>
  </w:style>
  <w:style w:type="character" w:styleId="Numrodepage">
    <w:name w:val="page number"/>
    <w:basedOn w:val="Policepardfaut"/>
    <w:uiPriority w:val="99"/>
    <w:semiHidden/>
    <w:unhideWhenUsed/>
    <w:rsid w:val="00E35BA1"/>
  </w:style>
  <w:style w:type="paragraph" w:styleId="Textedebulles">
    <w:name w:val="Balloon Text"/>
    <w:basedOn w:val="Normal"/>
    <w:link w:val="TextedebullesCar"/>
    <w:uiPriority w:val="99"/>
    <w:semiHidden/>
    <w:unhideWhenUsed/>
    <w:rsid w:val="00074366"/>
    <w:rPr>
      <w:rFonts w:ascii="Tahoma" w:hAnsi="Tahoma" w:cs="Tahoma"/>
      <w:sz w:val="16"/>
      <w:szCs w:val="16"/>
    </w:rPr>
  </w:style>
  <w:style w:type="character" w:customStyle="1" w:styleId="TextedebullesCar">
    <w:name w:val="Texte de bulles Car"/>
    <w:basedOn w:val="Policepardfaut"/>
    <w:link w:val="Textedebulles"/>
    <w:uiPriority w:val="99"/>
    <w:semiHidden/>
    <w:rsid w:val="00074366"/>
    <w:rPr>
      <w:rFonts w:ascii="Tahoma" w:eastAsia="HeldustryFT Regular"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HeldustryFT Regular" w:eastAsia="HeldustryFT Regular" w:hAnsi="HeldustryFT Regular" w:cs="HeldustryFT Regular"/>
    </w:rPr>
  </w:style>
  <w:style w:type="paragraph" w:styleId="Titre1">
    <w:name w:val="heading 1"/>
    <w:basedOn w:val="Normal"/>
    <w:uiPriority w:val="1"/>
    <w:qFormat/>
    <w:pPr>
      <w:spacing w:line="533" w:lineRule="exact"/>
      <w:ind w:left="110"/>
      <w:outlineLvl w:val="0"/>
    </w:pPr>
    <w:rPr>
      <w:rFonts w:ascii="HeldustryFTVBasic Black" w:eastAsia="HeldustryFTVBasic Black" w:hAnsi="HeldustryFTVBasic Black" w:cs="HeldustryFTVBasic Black"/>
      <w:sz w:val="48"/>
      <w:szCs w:val="48"/>
    </w:rPr>
  </w:style>
  <w:style w:type="paragraph" w:styleId="Titre2">
    <w:name w:val="heading 2"/>
    <w:basedOn w:val="Normal"/>
    <w:uiPriority w:val="1"/>
    <w:qFormat/>
    <w:pPr>
      <w:ind w:left="110"/>
      <w:outlineLvl w:val="1"/>
    </w:pPr>
    <w:rPr>
      <w:rFonts w:ascii="HeldustryFT Demi" w:eastAsia="HeldustryFT Demi" w:hAnsi="HeldustryFT Demi" w:cs="HeldustryFT Demi"/>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0"/>
    </w:pPr>
    <w:rPr>
      <w:sz w:val="20"/>
      <w:szCs w:val="20"/>
    </w:rPr>
  </w:style>
  <w:style w:type="paragraph" w:styleId="Paragraphedeliste">
    <w:name w:val="List Paragraph"/>
    <w:basedOn w:val="Normal"/>
    <w:uiPriority w:val="1"/>
    <w:qFormat/>
    <w:pPr>
      <w:spacing w:before="17"/>
      <w:ind w:left="945" w:hanging="115"/>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45BF6"/>
    <w:pPr>
      <w:tabs>
        <w:tab w:val="center" w:pos="4536"/>
        <w:tab w:val="right" w:pos="9072"/>
      </w:tabs>
    </w:pPr>
  </w:style>
  <w:style w:type="character" w:customStyle="1" w:styleId="En-tteCar">
    <w:name w:val="En-tête Car"/>
    <w:basedOn w:val="Policepardfaut"/>
    <w:link w:val="En-tte"/>
    <w:uiPriority w:val="99"/>
    <w:rsid w:val="00845BF6"/>
    <w:rPr>
      <w:rFonts w:ascii="HeldustryFT Regular" w:eastAsia="HeldustryFT Regular" w:hAnsi="HeldustryFT Regular" w:cs="HeldustryFT Regular"/>
    </w:rPr>
  </w:style>
  <w:style w:type="paragraph" w:styleId="Pieddepage">
    <w:name w:val="footer"/>
    <w:basedOn w:val="Normal"/>
    <w:link w:val="PieddepageCar"/>
    <w:uiPriority w:val="99"/>
    <w:unhideWhenUsed/>
    <w:rsid w:val="00845BF6"/>
    <w:pPr>
      <w:tabs>
        <w:tab w:val="center" w:pos="4536"/>
        <w:tab w:val="right" w:pos="9072"/>
      </w:tabs>
    </w:pPr>
  </w:style>
  <w:style w:type="character" w:customStyle="1" w:styleId="PieddepageCar">
    <w:name w:val="Pied de page Car"/>
    <w:basedOn w:val="Policepardfaut"/>
    <w:link w:val="Pieddepage"/>
    <w:uiPriority w:val="99"/>
    <w:rsid w:val="00845BF6"/>
    <w:rPr>
      <w:rFonts w:ascii="HeldustryFT Regular" w:eastAsia="HeldustryFT Regular" w:hAnsi="HeldustryFT Regular" w:cs="HeldustryFT Regular"/>
    </w:rPr>
  </w:style>
  <w:style w:type="character" w:styleId="Numrodepage">
    <w:name w:val="page number"/>
    <w:basedOn w:val="Policepardfaut"/>
    <w:uiPriority w:val="99"/>
    <w:semiHidden/>
    <w:unhideWhenUsed/>
    <w:rsid w:val="00E35BA1"/>
  </w:style>
  <w:style w:type="paragraph" w:styleId="Textedebulles">
    <w:name w:val="Balloon Text"/>
    <w:basedOn w:val="Normal"/>
    <w:link w:val="TextedebullesCar"/>
    <w:uiPriority w:val="99"/>
    <w:semiHidden/>
    <w:unhideWhenUsed/>
    <w:rsid w:val="00074366"/>
    <w:rPr>
      <w:rFonts w:ascii="Tahoma" w:hAnsi="Tahoma" w:cs="Tahoma"/>
      <w:sz w:val="16"/>
      <w:szCs w:val="16"/>
    </w:rPr>
  </w:style>
  <w:style w:type="character" w:customStyle="1" w:styleId="TextedebullesCar">
    <w:name w:val="Texte de bulles Car"/>
    <w:basedOn w:val="Policepardfaut"/>
    <w:link w:val="Textedebulles"/>
    <w:uiPriority w:val="99"/>
    <w:semiHidden/>
    <w:rsid w:val="00074366"/>
    <w:rPr>
      <w:rFonts w:ascii="Tahoma" w:eastAsia="HeldustryFT Regular"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4E5FC-FF6C-4A07-8D84-2CF9300F7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733</Words>
  <Characters>4035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France Televisions Publicite</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Goueguel Ella</dc:creator>
  <cp:lastModifiedBy>Ravier Isabelle</cp:lastModifiedBy>
  <cp:revision>7</cp:revision>
  <cp:lastPrinted>2017-10-18T14:59:00Z</cp:lastPrinted>
  <dcterms:created xsi:type="dcterms:W3CDTF">2017-10-18T14:42:00Z</dcterms:created>
  <dcterms:modified xsi:type="dcterms:W3CDTF">2017-10-20T10:03:00Z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Creator">
    <vt:lpwstr>Adobe InDesign CC 2015 (Windows)</vt:lpwstr>
  </property>
  <property fmtid="{D5CDD505-2E9C-101B-9397-08002B2CF9AE}" pid="4" name="LastSaved">
    <vt:filetime>2016-10-18T00:00:00Z</vt:filetime>
  </property>
</Properties>
</file>